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ARQUITECTURA DEL COMPUTADOR 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HOJA DE ESPECIFICACIONES</w:t>
      </w:r>
    </w:p>
    <w:p w:rsidR="00000000" w:rsidDel="00000000" w:rsidP="00000000" w:rsidRDefault="00000000" w:rsidRPr="00000000">
      <w:pPr>
        <w:contextualSpacing w:val="0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PLACA MADRE 785GM E51 rev1.2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Procesador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Tiene un socket AM3 que soporta procesadores de x64 bits:</w:t>
      </w:r>
    </w:p>
    <w:p w:rsidR="00000000" w:rsidDel="00000000" w:rsidP="00000000" w:rsidRDefault="00000000" w:rsidRPr="00000000">
      <w:pPr>
        <w:ind w:left="1440" w:firstLine="0"/>
        <w:contextualSpacing w:val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Athlon II X2-240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Athlon II X2-245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Athlon II X2-250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Athlon II x3-445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Athlon II X4-630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3305175</wp:posOffset>
            </wp:positionH>
            <wp:positionV relativeFrom="paragraph">
              <wp:posOffset>133350</wp:posOffset>
            </wp:positionV>
            <wp:extent cx="1909763" cy="1432322"/>
            <wp:effectExtent b="0" l="0" r="0" t="0"/>
            <wp:wrapSquare wrapText="bothSides" distB="114300" distT="114300" distL="114300" distR="114300"/>
            <wp:docPr id="1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9763" cy="14323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X2-545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X2-550 BE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X3-710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X3-720 BE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X4-805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X4-810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X4-910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X4-945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X4-955 BE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X4-965 BE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X6-1055T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X6-1065T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X6-1075T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X6-1090T BE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Phenom II X6-1100T BE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Sempron 140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Sempron 145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2880" w:hanging="360"/>
        <w:rPr/>
      </w:pPr>
      <w:r w:rsidDel="00000000" w:rsidR="00000000" w:rsidRPr="00000000">
        <w:rPr>
          <w:rtl w:val="0"/>
        </w:rPr>
        <w:t xml:space="preserve">Sempron 180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Chipset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AMD® 785G+SB710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1466850</wp:posOffset>
            </wp:positionH>
            <wp:positionV relativeFrom="paragraph">
              <wp:posOffset>247650</wp:posOffset>
            </wp:positionV>
            <wp:extent cx="3400425" cy="1766888"/>
            <wp:effectExtent b="0" l="0" r="0" t="0"/>
            <wp:wrapTopAndBottom distB="114300" distT="114300"/>
            <wp:docPr id="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7668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Memoria Ram 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Memorias ram DDR3 de 240 pines de 1.4volts.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Soporta memorias ram DDR3 de bus :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800mhz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1066mhz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1333mhz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1600mhz(OC)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Soporta una cantidad máxima de 4 Memorias ram y una capacidad máxima de 16 Gb de memoria.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1781175</wp:posOffset>
            </wp:positionH>
            <wp:positionV relativeFrom="paragraph">
              <wp:posOffset>504825</wp:posOffset>
            </wp:positionV>
            <wp:extent cx="2109788" cy="1580588"/>
            <wp:effectExtent b="0" l="0" r="0" t="0"/>
            <wp:wrapTopAndBottom distB="114300" distT="11430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9788" cy="15805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144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HyperTransport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HyperTransport 3.0 con soporte para velocidades de hasta 2.6GHz.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rPr/>
      </w:pPr>
      <w:r w:rsidDel="00000000" w:rsidR="00000000" w:rsidRPr="00000000">
        <w:rPr>
          <w:rtl w:val="0"/>
        </w:rPr>
        <w:t xml:space="preserve">Almacenamiento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Soporta hasta 5 discos duros SATA </w:t>
      </w:r>
      <w:r w:rsidDel="00000000" w:rsidR="00000000" w:rsidRPr="00000000">
        <w:rPr>
          <w:rtl w:val="0"/>
        </w:rPr>
        <w:t xml:space="preserve">en los puertos SATA II por el chipset  AMD SB710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Soporta almacenamiento y transferencia de datos de hasta 3Gb/s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Gráficos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Incluye una tarjeta grafica integrada ATI Radeon HD4200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Audio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rPr/>
      </w:pPr>
      <w:r w:rsidDel="00000000" w:rsidR="00000000" w:rsidRPr="00000000">
        <w:rPr>
          <w:rtl w:val="0"/>
        </w:rPr>
        <w:t xml:space="preserve">Incluye Audio de Alta Definición de 8 canales. Codec Realtek 8111DL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Conectores internos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ab/>
        <w:t xml:space="preserve">• 1 x Conector de energía ATX de 24 pines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1066800</wp:posOffset>
            </wp:positionH>
            <wp:positionV relativeFrom="paragraph">
              <wp:posOffset>76200</wp:posOffset>
            </wp:positionV>
            <wp:extent cx="2414588" cy="1569722"/>
            <wp:effectExtent b="0" l="0" r="0" t="0"/>
            <wp:wrapTopAndBottom distB="114300" distT="11430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56972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de energía de CPU 12V ATX de 4 pines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1352550</wp:posOffset>
            </wp:positionH>
            <wp:positionV relativeFrom="paragraph">
              <wp:posOffset>171450</wp:posOffset>
            </wp:positionV>
            <wp:extent cx="504825" cy="523875"/>
            <wp:effectExtent b="0" l="0" r="0" t="0"/>
            <wp:wrapTopAndBottom distB="114300" distT="11430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49710" l="47777" r="22777" t="1849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" cy="523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2 x Conectores de ventilador (CPU x 1 / Sistema x 1)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1257300</wp:posOffset>
            </wp:positionH>
            <wp:positionV relativeFrom="paragraph">
              <wp:posOffset>95250</wp:posOffset>
            </wp:positionV>
            <wp:extent cx="1085850" cy="933450"/>
            <wp:effectExtent b="0" l="0" r="0" t="0"/>
            <wp:wrapTopAndBottom distB="114300" distT="11430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20103" l="30888" r="25096" t="29381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933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2781300</wp:posOffset>
            </wp:positionH>
            <wp:positionV relativeFrom="paragraph">
              <wp:posOffset>95250</wp:posOffset>
            </wp:positionV>
            <wp:extent cx="1057275" cy="1390650"/>
            <wp:effectExtent b="0" l="0" r="0" t="0"/>
            <wp:wrapTopAndBottom distB="114300" distT="114300"/>
            <wp:docPr id="1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28333" l="42153" r="23692" t="23000"/>
                    <a:stretch>
                      <a:fillRect/>
                    </a:stretch>
                  </pic:blipFill>
                  <pic:spPr>
                    <a:xfrm>
                      <a:off x="0" y="0"/>
                      <a:ext cx="1057275" cy="1390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de entrada CD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de audio de panel frontal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1257300</wp:posOffset>
            </wp:positionH>
            <wp:positionV relativeFrom="paragraph">
              <wp:posOffset>9525</wp:posOffset>
            </wp:positionV>
            <wp:extent cx="2652713" cy="1991502"/>
            <wp:effectExtent b="0" l="0" r="0" t="0"/>
            <wp:wrapTopAndBottom distB="114300" distT="114300"/>
            <wp:docPr id="1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2713" cy="19915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1190625</wp:posOffset>
            </wp:positionH>
            <wp:positionV relativeFrom="paragraph">
              <wp:posOffset>76200</wp:posOffset>
            </wp:positionV>
            <wp:extent cx="1657350" cy="1600200"/>
            <wp:effectExtent b="0" l="0" r="0" t="0"/>
            <wp:wrapTopAndBottom distB="114300" distT="114300"/>
            <wp:docPr id="1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20683" r="49572" t="4985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de panel frontal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228850" cy="885825"/>
            <wp:effectExtent b="0" l="0" r="0" t="0"/>
            <wp:docPr id="1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26020" l="4263" r="5038" t="26530"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de switch para chassis intrusion</w:t>
      </w:r>
    </w:p>
    <w:p w:rsidR="00000000" w:rsidDel="00000000" w:rsidP="00000000" w:rsidRDefault="00000000" w:rsidRPr="00000000">
      <w:pPr>
        <w:ind w:left="2160" w:firstLine="0"/>
        <w:contextualSpacing w:val="0"/>
        <w:rPr/>
      </w:pPr>
      <w:r w:rsidDel="00000000" w:rsidR="00000000" w:rsidRPr="00000000">
        <w:rPr>
          <w:rtl w:val="0"/>
        </w:rPr>
        <w:t xml:space="preserve">NOTA :Sirve para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detectar aberturas del panel de la cubierta y alerta al usuario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076325" cy="1662113"/>
            <wp:effectExtent b="0" l="0" r="0" t="0"/>
            <wp:docPr id="2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"/>
                    <a:srcRect b="6884" l="76796" r="0" t="7971"/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166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3 x Conectores USB 2.0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914400</wp:posOffset>
            </wp:positionH>
            <wp:positionV relativeFrom="paragraph">
              <wp:posOffset>0</wp:posOffset>
            </wp:positionV>
            <wp:extent cx="1657350" cy="1600200"/>
            <wp:effectExtent b="0" l="0" r="0" t="0"/>
            <wp:wrapTopAndBottom distB="114300" distT="11430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-1492" l="54529" r="15726" t="51343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0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para Floppy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886075" cy="952500"/>
            <wp:effectExtent b="0" l="0" r="0" t="0"/>
            <wp:docPr id="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26808" l="0" r="3194" t="30638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5 x Conectores Serial ATA II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819150</wp:posOffset>
            </wp:positionH>
            <wp:positionV relativeFrom="paragraph">
              <wp:posOffset>0</wp:posOffset>
            </wp:positionV>
            <wp:extent cx="1752600" cy="1200150"/>
            <wp:effectExtent b="0" l="0" r="0" t="0"/>
            <wp:wrapTopAndBottom distB="114300" distT="114300"/>
            <wp:docPr id="1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3437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2001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IDE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624138" cy="1127089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1127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de salida SPDIF</w:t>
      </w:r>
    </w:p>
    <w:p w:rsidR="00000000" w:rsidDel="00000000" w:rsidP="00000000" w:rsidRDefault="00000000" w:rsidRPr="00000000">
      <w:pPr>
        <w:ind w:left="2160" w:firstLine="0"/>
        <w:contextualSpacing w:val="0"/>
        <w:rPr/>
      </w:pPr>
      <w:r w:rsidDel="00000000" w:rsidR="00000000" w:rsidRPr="00000000">
        <w:rPr>
          <w:rtl w:val="0"/>
        </w:rPr>
        <w:t xml:space="preserve">NOTA:Para la transmisión de señales de audio digital moduladas en modulación por impulsos codificados entre dispositivos y componentes estereofónicos.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019300" cy="666750"/>
            <wp:effectExtent b="0" l="0" r="0" t="0"/>
            <wp:docPr id="2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20202" l="31764" r="18352" t="56228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JTPM</w:t>
      </w:r>
    </w:p>
    <w:p w:rsidR="00000000" w:rsidDel="00000000" w:rsidP="00000000" w:rsidRDefault="00000000" w:rsidRPr="00000000">
      <w:pPr>
        <w:ind w:left="2160" w:firstLine="0"/>
        <w:contextualSpacing w:val="0"/>
        <w:rPr/>
      </w:pPr>
      <w:r w:rsidDel="00000000" w:rsidR="00000000" w:rsidRPr="00000000">
        <w:rPr>
          <w:rtl w:val="0"/>
        </w:rPr>
        <w:t xml:space="preserve">NOTA:El TPM (Trusted Platform Module) proporciona la capacidad de ejecutar aplicaciones más seguras y para realizar transacciones y comunicaciones en completa confianza.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495425" cy="1304925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para puerto serial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Conector de puerto paralelo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1504950</wp:posOffset>
            </wp:positionH>
            <wp:positionV relativeFrom="paragraph">
              <wp:posOffset>0</wp:posOffset>
            </wp:positionV>
            <wp:extent cx="1957388" cy="1957388"/>
            <wp:effectExtent b="0" l="0" r="0" t="0"/>
            <wp:wrapTopAndBottom distB="114300" distT="114300"/>
            <wp:docPr id="2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19573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1485900" cy="409575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31034" l="33714" r="21714" t="50431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• 1 x Interruptor OC Switch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Conectores Traseros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PS/2 (teclado)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6 x USB 2.0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Red (RJ45)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eSATA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DVI-D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VGA 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HDMI</w:t>
      </w:r>
    </w:p>
    <w:p w:rsidR="00000000" w:rsidDel="00000000" w:rsidP="00000000" w:rsidRDefault="00000000" w:rsidRPr="00000000">
      <w:pPr>
        <w:ind w:left="1440" w:firstLine="0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• 1 x Salida de audio con 6 jacks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Ranuras de Expansión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PCI-Express x16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133975" cy="847725"/>
            <wp:effectExtent b="0" l="0" r="0" t="0"/>
            <wp:docPr id="1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75549" l="0" r="101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8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1 x PCI-Express x1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400425" cy="733425"/>
            <wp:effectExtent b="0" l="0" r="0" t="0"/>
            <wp:docPr id="2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b="55219" l="5833" r="34666" t="23626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• 2 x PCI (convencionales)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705350" cy="809625"/>
            <wp:effectExtent b="0" l="0" r="0" t="0"/>
            <wp:docPr id="1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6"/>
                    <a:srcRect b="0" l="0" r="17666" t="7664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0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Formato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Micro ATX</w:t>
      </w:r>
      <w:r w:rsidDel="00000000" w:rsidR="00000000" w:rsidRPr="00000000">
        <w:rPr>
          <w:rtl w:val="0"/>
        </w:rPr>
        <w:t xml:space="preserve"> (24.4 x 22.9 cm)</w:t>
      </w:r>
    </w:p>
    <w:p w:rsidR="00000000" w:rsidDel="00000000" w:rsidP="00000000" w:rsidRDefault="00000000" w:rsidRPr="00000000">
      <w:pPr>
        <w:ind w:left="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FUENTE DE PODER </w:t>
      </w:r>
      <w:r w:rsidDel="00000000" w:rsidR="00000000" w:rsidRPr="00000000">
        <w:rPr>
          <w:rtl w:val="0"/>
        </w:rPr>
        <w:t xml:space="preserve">Avatec Psa-h580. 580w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Modelo: PSA - H580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Género: Fuente de poder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Color   : Plomo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Fuente : Fuente de Poder 580 W.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ATX</w:t>
        <w:tab/>
        <w:t xml:space="preserve">: ATX-250W REAL (580W) Prescott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Pins </w:t>
        <w:tab/>
        <w:t xml:space="preserve">: 20+4 Pins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Cable  : Cable Sata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Cooler : 8 cm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Voltaje : 220V/63Hz/6A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Bobinas :2 Bobinas de inducción para una mejor regulación de energía.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Compatible: Compatible con el estándar Intel ATX 12V - 2.3V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Procesadores         </w:t>
        <w:tab/>
        <w:t xml:space="preserve">: Soporta procesadores Intel y AMD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Conectores Compatibles :2 Conectores S-SATA DC compatibles con Discos Duros SATA y DVD ROM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Conector :1x Conector ATX 20+4 Pines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Protección: Protección de Entrada y salida (OVP/UVP/OCP/OPP/OTP/SCP)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MEMORIA RAM </w:t>
      </w:r>
      <w:r w:rsidDel="00000000" w:rsidR="00000000" w:rsidRPr="00000000">
        <w:rPr>
          <w:rtl w:val="0"/>
        </w:rPr>
        <w:t xml:space="preserve">Kingston KVR1333D3N9/</w:t>
      </w:r>
      <w:r w:rsidDel="00000000" w:rsidR="00000000" w:rsidRPr="00000000">
        <w:rPr>
          <w:rtl w:val="0"/>
        </w:rPr>
        <w:t xml:space="preserve">2G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 Description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Potencia de RAM de 256M x 64 bits (2 GB)</w:t>
        <w:br w:type="textWrapping"/>
        <w:t xml:space="preserve">DDR3-1333 CL9 SDRAM (DRAM síncrona), memoria 2Rx8, basado en dieciséis 128M x 8-bit DDR3-1333 FBGA</w:t>
        <w:br w:type="textWrapping"/>
        <w:t xml:space="preserve">componentes. El SPD está programado según el estándar JEDEC</w:t>
        <w:br w:type="textWrapping"/>
        <w:t xml:space="preserve">latencia DDR3-1333 tiempo de 9-9-9 a 1.5V. 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Este DIMM de 240 clavijas</w:t>
        <w:br w:type="textWrapping"/>
        <w:t xml:space="preserve">utiliza dedos de contacto de oro. Los componentes eléctricos y mecánicos</w:t>
        <w:br w:type="textWrapping"/>
        <w:t xml:space="preserve">especificaciones son los siguientes: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 b.  Características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    • Fuente de alimentación estándar JEDEC 1.5V (1.425V ~ 1.575V)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  • VDDQ = 1.5V (1.425V ~ 1.575V)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 • 667MHz fCK para 1333Mhz / seg / pin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 • 8 bancos internos independientes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 • Latencia programable de CAS: 9, 8, 7, 6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   • Latencia del aditivo programable: 0, CL - 2 o CL - 1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 • Latencia programable de escritura CAS (CWL) = 7 (DDR3-1333)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• Pre-extracción de 8 bits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  • Longitud de ráfaga: 8 (Intercalado sin límite, secuencial con</w:t>
        <w:br w:type="textWrapping"/>
        <w:t xml:space="preserve">         dirección inicial "000" solamente), 4 con tCCD = 4 que no</w:t>
        <w:br w:type="textWrapping"/>
        <w:t xml:space="preserve">         permitir la lectura o escritura sin problemas [ya sea con A12 o</w:t>
        <w:br w:type="textWrapping"/>
        <w:t xml:space="preserve">         MRS]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  • Strobe de datos diferenciales bidireccionales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• Calibración interna (self): Calibración interna a través de ZQ</w:t>
        <w:br w:type="textWrapping"/>
        <w:t xml:space="preserve">          pin (RZQ: 240 ohm ± 1%)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• Terminación de la matriz utilizando ODT pin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• Período de actualización promedio 7.8us a menor que TCASE 85 ° C,</w:t>
        <w:br w:type="textWrapping"/>
        <w:t xml:space="preserve">         3.9us a 85 ° C &lt;TCASE &lt;95 ° C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br w:type="textWrapping"/>
        <w:t xml:space="preserve">       • Restablecimiento asíncrono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       • PCB: Altura 0.740 "(18.75mm), componente de doble cara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  <w:t xml:space="preserve">c. Especificaciones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CL(IDD) 9 ciclos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Tiempo de ciclo de fila (tRCmin) 49.5ns (min.)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Recarga para activarse/recarga 110ns (min.)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Tiempo de comando (tRFCmin)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Tiempo activo de fila (tRASmin) 36ns (min.)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Potencia (Operating) 1.800 W*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Rango UL  94 V - 0</w:t>
      </w:r>
    </w:p>
    <w:p w:rsidR="00000000" w:rsidDel="00000000" w:rsidP="00000000" w:rsidRDefault="00000000" w:rsidRPr="00000000">
      <w:pPr>
        <w:ind w:left="1440" w:firstLine="0"/>
        <w:contextualSpacing w:val="0"/>
        <w:rPr/>
      </w:pPr>
      <w:r w:rsidDel="00000000" w:rsidR="00000000" w:rsidRPr="00000000">
        <w:rPr>
          <w:rtl w:val="0"/>
        </w:rPr>
        <w:t xml:space="preserve">Temperatura de trabajo 0o C to 85o C temperatura de almacenamiento -55o C to +100o C</w:t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b w:val="1"/>
          <w:color w:val="212121"/>
          <w:sz w:val="24"/>
          <w:szCs w:val="24"/>
          <w:highlight w:val="white"/>
        </w:rPr>
        <w:drawing>
          <wp:inline distB="114300" distT="114300" distL="114300" distR="114300">
            <wp:extent cx="5731200" cy="3746500"/>
            <wp:effectExtent b="0" l="0" r="0" t="0"/>
            <wp:docPr descr="Captura.PNG" id="9" name="image27.png"/>
            <a:graphic>
              <a:graphicData uri="http://schemas.openxmlformats.org/drawingml/2006/picture">
                <pic:pic>
                  <pic:nvPicPr>
                    <pic:cNvPr descr="Captura.PNG"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color w:val="21212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  <w:t xml:space="preserve">            </w:t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s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4.png"/><Relationship Id="rId22" Type="http://schemas.openxmlformats.org/officeDocument/2006/relationships/image" Target="media/image42.png"/><Relationship Id="rId21" Type="http://schemas.openxmlformats.org/officeDocument/2006/relationships/image" Target="media/image22.png"/><Relationship Id="rId24" Type="http://schemas.openxmlformats.org/officeDocument/2006/relationships/image" Target="media/image35.png"/><Relationship Id="rId23" Type="http://schemas.openxmlformats.org/officeDocument/2006/relationships/image" Target="media/image7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0.png"/><Relationship Id="rId26" Type="http://schemas.openxmlformats.org/officeDocument/2006/relationships/image" Target="media/image41.png"/><Relationship Id="rId25" Type="http://schemas.openxmlformats.org/officeDocument/2006/relationships/image" Target="media/image45.png"/><Relationship Id="rId27" Type="http://schemas.openxmlformats.org/officeDocument/2006/relationships/image" Target="media/image27.png"/><Relationship Id="rId5" Type="http://schemas.openxmlformats.org/officeDocument/2006/relationships/image" Target="media/image37.png"/><Relationship Id="rId6" Type="http://schemas.openxmlformats.org/officeDocument/2006/relationships/image" Target="media/image25.png"/><Relationship Id="rId7" Type="http://schemas.openxmlformats.org/officeDocument/2006/relationships/image" Target="media/image17.png"/><Relationship Id="rId8" Type="http://schemas.openxmlformats.org/officeDocument/2006/relationships/image" Target="media/image31.png"/><Relationship Id="rId11" Type="http://schemas.openxmlformats.org/officeDocument/2006/relationships/image" Target="media/image38.png"/><Relationship Id="rId10" Type="http://schemas.openxmlformats.org/officeDocument/2006/relationships/image" Target="media/image19.png"/><Relationship Id="rId13" Type="http://schemas.openxmlformats.org/officeDocument/2006/relationships/image" Target="media/image28.png"/><Relationship Id="rId12" Type="http://schemas.openxmlformats.org/officeDocument/2006/relationships/image" Target="media/image39.png"/><Relationship Id="rId15" Type="http://schemas.openxmlformats.org/officeDocument/2006/relationships/image" Target="media/image43.png"/><Relationship Id="rId14" Type="http://schemas.openxmlformats.org/officeDocument/2006/relationships/image" Target="media/image29.png"/><Relationship Id="rId17" Type="http://schemas.openxmlformats.org/officeDocument/2006/relationships/image" Target="media/image26.png"/><Relationship Id="rId16" Type="http://schemas.openxmlformats.org/officeDocument/2006/relationships/image" Target="media/image20.png"/><Relationship Id="rId19" Type="http://schemas.openxmlformats.org/officeDocument/2006/relationships/image" Target="media/image21.png"/><Relationship Id="rId18" Type="http://schemas.openxmlformats.org/officeDocument/2006/relationships/image" Target="media/image36.png"/></Relationships>
</file>